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Pseudocode for DAC_Service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Module Functions: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InitTimer0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InitDAC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Module Variables: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MyPriority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sin[]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sin_length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Sin_index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Cmp_val[]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Function:InitDACService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Params: Priority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Return: bool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Set MyPriority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InitTimer0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InitDAC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End InitDACService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Function: PostDACService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Params: ES_Event_t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Returns: bool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Post event to service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End PostDACService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Function: RunDACService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Params: ES_Event_t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Returns: ES_Event_t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End RunDACService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Function: getNextDAC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Returns: uint8_t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Increment sin_index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if sin_index is sin_length, set to 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return relevant sin DAC value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End getNextDAC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Function: EnableDAC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set DAC1CON1 to getNextDAC value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clear timer 0 IF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enable timer 0 interrupt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enable timer 0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enable DAC1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End EnableDAC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Function: SendDibit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Params: uint8_t value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Disable Timer0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set compare value to parameter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clear TMR value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clear TMR IF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enable TMR interrupt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enable TMR0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End SendDibit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Function: DisableDAC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Set DAC1CON1 to 0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Disable DAC1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Disable tmr0 interrupt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disable tmr0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End DisableDAC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Private Function: InitTimer0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Set to 8 bit time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Set prescale to 1:2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Set initial compare value to lowest dibit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End InitTimer0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Private Function: InitDAC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use 1.024 as ref voltage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enable fixed voltage ref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Wait for periph to be ready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set positive ref voltage to be FVR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set first DAC value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set output to be RB7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enable DAC1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enable global and peripheral interrupts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End InitDAC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