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Pseudocode for LEDService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Module Variables: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MyPriority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Function: InitLEDService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Params: Priority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Returns: bool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Set MyPriority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Set RB1, RB3, RB4, RB5, RB6 to Digital out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Start with lines hi, except for RB1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End InitLEDService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Function: PostLEDService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Params: ES_Event_t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Returns: bool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Post to this service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End PostLEDService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Function: RunLEDService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Params: ES_Event_t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Returns: ES_Event_t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End RunLEDService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Function: SetActiveLED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Params, returns: none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Set RB1 Hi to mark TX/RX active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End SetActiveLED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Function: ClearActiveLED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Params, returns: none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Set RB1 Lo to mark TX/RX inactive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End ClearActiveLED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Function: SetLEDs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Params: uint8_t LEDCode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Returns: none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Get current value in LATB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Get mask for values we don't want to change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Put LEDCode into correct spot in mask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write mask to LATB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End SetLEDs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