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Module defines: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ab/>
        <w:t xml:space="preserve">PWMPeriodTicks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ab/>
        <w:t xml:space="preserve">RELEASE_DELAY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Module functions: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  <w:t xml:space="preserve">InitializePWM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Module variables: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ab/>
        <w:t xml:space="preserve">MyPriority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Function: InitServoService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Params: Priority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Returns bool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Save priority for this service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InitializePWM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End InitServoService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Function: PostServoService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Params: Event to post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Returns bool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Return result of posting to this service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End PostServoService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Function: RunServoService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Params: Event to process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Returns: event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If this event is ES_PRESS_KEYBOARD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ab/>
        <w:t xml:space="preserve">PressKeyboard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Endif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If this event is ES_RELEASE_KEYBOARD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ab/>
        <w:t xml:space="preserve">Start SERVO_RELEASE_TIMER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Endif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If this event is ES_TIMEOUT of SERVO_RELEASE_TIMER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ab/>
        <w:t xml:space="preserve">ReleaseKeyboard();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endif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End RunServoService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Function: ReleaseKeyboard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Params: none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Returns none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Set PWM position to up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End ReleaseKeyboard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Function: PressKeyboard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Params: none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Returns none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Set PWM position to down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End PressKeyboard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Function: InitializePWM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Params: none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Returns none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Set output active high (PWM6POL to 0)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Load T2PR with PWM period (155) corresponding to 50hz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Set initial PWM position up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Choose clock source: MFINTOSC (31.25kHz)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Set prescaler 1:4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Clear interrupt flag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Enable TMR2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Disable interrupt for TMR2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Set pin as digital output (RC2)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Set up RC2 for PWM6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Enable PWM6 module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End InitializePWM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